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EC" w:rsidRDefault="00110EEC" w:rsidP="00110EEC">
      <w:pPr>
        <w:shd w:val="clear" w:color="auto" w:fill="FFFFFF"/>
        <w:tabs>
          <w:tab w:val="center" w:pos="4677"/>
          <w:tab w:val="left" w:pos="8021"/>
        </w:tabs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Общеобразовательная автономная некоммерческая организация </w:t>
      </w:r>
    </w:p>
    <w:p w:rsidR="00110EEC" w:rsidRDefault="00110EEC" w:rsidP="00110EEC">
      <w:pPr>
        <w:shd w:val="clear" w:color="auto" w:fill="FFFFFF"/>
        <w:tabs>
          <w:tab w:val="center" w:pos="4677"/>
          <w:tab w:val="left" w:pos="8021"/>
        </w:tabs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«Центр образования «Личность»</w:t>
      </w:r>
    </w:p>
    <w:p w:rsidR="00110EEC" w:rsidRDefault="00110EEC" w:rsidP="00110EEC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Юккъерчу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автономни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коммерцинй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оцу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организаци</w:t>
      </w:r>
      <w:proofErr w:type="spellEnd"/>
    </w:p>
    <w:p w:rsidR="00110EEC" w:rsidRDefault="00110EEC" w:rsidP="00110EEC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Центр «Личность»</w:t>
      </w:r>
    </w:p>
    <w:p w:rsidR="00110EEC" w:rsidRDefault="00110EEC" w:rsidP="00110EEC">
      <w:pPr>
        <w:pStyle w:val="a3"/>
        <w:jc w:val="center"/>
        <w:rPr>
          <w:rFonts w:ascii="Montserrat" w:hAnsi="Montserrat"/>
          <w:color w:val="273350"/>
          <w:sz w:val="27"/>
          <w:szCs w:val="27"/>
        </w:rPr>
      </w:pPr>
    </w:p>
    <w:p w:rsidR="00110EEC" w:rsidRDefault="00110EEC" w:rsidP="00110EEC">
      <w:pPr>
        <w:pStyle w:val="a3"/>
        <w:jc w:val="center"/>
        <w:rPr>
          <w:rFonts w:ascii="Montserrat" w:hAnsi="Montserrat"/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Протокол №1</w:t>
      </w:r>
    </w:p>
    <w:p w:rsidR="00110EEC" w:rsidRDefault="00110EEC" w:rsidP="00110EEC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 </w:t>
      </w:r>
      <w:r>
        <w:rPr>
          <w:rFonts w:ascii="Montserrat" w:hAnsi="Montserrat"/>
          <w:color w:val="273350"/>
        </w:rPr>
        <w:t xml:space="preserve">методического семинара "О средневзвешенной системе оценивания </w:t>
      </w:r>
      <w:proofErr w:type="gramStart"/>
      <w:r>
        <w:rPr>
          <w:rFonts w:ascii="Montserrat" w:hAnsi="Montserrat"/>
          <w:color w:val="273350"/>
        </w:rPr>
        <w:t>планируемых результатов</w:t>
      </w:r>
      <w:proofErr w:type="gramEnd"/>
      <w:r>
        <w:rPr>
          <w:rFonts w:ascii="Montserrat" w:hAnsi="Montserrat"/>
          <w:color w:val="273350"/>
        </w:rPr>
        <w:t xml:space="preserve"> обучающихся по основным общеобразовательным программам". </w:t>
      </w:r>
    </w:p>
    <w:p w:rsidR="00110EEC" w:rsidRDefault="00110EEC" w:rsidP="00110EEC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    Присутствовало- 24 чел.</w:t>
      </w:r>
    </w:p>
    <w:p w:rsidR="00110EEC" w:rsidRDefault="00110EEC" w:rsidP="00110EEC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 xml:space="preserve">    Отсутствовало: - 0 </w:t>
      </w:r>
    </w:p>
    <w:p w:rsidR="00110EEC" w:rsidRDefault="00110EEC" w:rsidP="00110EEC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 xml:space="preserve">    </w:t>
      </w:r>
    </w:p>
    <w:p w:rsidR="00110EEC" w:rsidRDefault="00110EEC" w:rsidP="00110EEC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                                Повестка:</w:t>
      </w:r>
    </w:p>
    <w:p w:rsidR="00110EEC" w:rsidRDefault="00110EEC" w:rsidP="00110EEC">
      <w:pPr>
        <w:shd w:val="clear" w:color="auto" w:fill="FFFFFF"/>
        <w:tabs>
          <w:tab w:val="center" w:pos="4677"/>
          <w:tab w:val="left" w:pos="8021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273350"/>
          <w:sz w:val="28"/>
          <w:szCs w:val="28"/>
        </w:rPr>
        <w:t xml:space="preserve">Средневзвешенная система оценивания </w:t>
      </w:r>
      <w:proofErr w:type="gramStart"/>
      <w:r>
        <w:rPr>
          <w:rFonts w:ascii="Times New Roman" w:hAnsi="Times New Roman" w:cs="Times New Roman"/>
          <w:color w:val="273350"/>
          <w:sz w:val="28"/>
          <w:szCs w:val="28"/>
        </w:rPr>
        <w:t>планируемых  результатов</w:t>
      </w:r>
      <w:proofErr w:type="gramEnd"/>
      <w:r>
        <w:rPr>
          <w:rFonts w:ascii="Times New Roman" w:hAnsi="Times New Roman" w:cs="Times New Roman"/>
          <w:color w:val="273350"/>
          <w:sz w:val="28"/>
          <w:szCs w:val="28"/>
        </w:rPr>
        <w:t xml:space="preserve"> обучающихся по основным общеобразовательным программам. </w:t>
      </w:r>
    </w:p>
    <w:p w:rsidR="00110EEC" w:rsidRDefault="00110EEC" w:rsidP="00110EEC">
      <w:pPr>
        <w:shd w:val="clear" w:color="auto" w:fill="FFFFFF"/>
        <w:tabs>
          <w:tab w:val="center" w:pos="4677"/>
          <w:tab w:val="left" w:pos="8021"/>
        </w:tabs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</w:pPr>
    </w:p>
    <w:p w:rsidR="00110EEC" w:rsidRDefault="00110EEC" w:rsidP="00110EEC">
      <w:pPr>
        <w:shd w:val="clear" w:color="auto" w:fill="FFFFFF"/>
        <w:tabs>
          <w:tab w:val="center" w:pos="4677"/>
          <w:tab w:val="left" w:pos="8021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273350"/>
          <w:sz w:val="28"/>
          <w:szCs w:val="28"/>
        </w:rPr>
        <w:t>15сентября 2025 года в   ОАНО</w:t>
      </w:r>
      <w:proofErr w:type="gramStart"/>
      <w:r>
        <w:rPr>
          <w:rFonts w:ascii="Times New Roman" w:hAnsi="Times New Roman" w:cs="Times New Roman"/>
          <w:color w:val="27335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1E2120"/>
          <w:sz w:val="28"/>
          <w:szCs w:val="28"/>
          <w:shd w:val="clear" w:color="auto" w:fill="FFFFFF"/>
        </w:rPr>
        <w:t>«</w:t>
      </w:r>
      <w:proofErr w:type="gramEnd"/>
      <w:r>
        <w:rPr>
          <w:rFonts w:ascii="Times New Roman" w:eastAsia="Times New Roman" w:hAnsi="Times New Roman" w:cs="Times New Roman"/>
          <w:b/>
          <w:color w:val="1E2120"/>
          <w:sz w:val="28"/>
          <w:szCs w:val="28"/>
          <w:shd w:val="clear" w:color="auto" w:fill="FFFFFF"/>
        </w:rPr>
        <w:t>Центр образования «Личность»</w:t>
      </w:r>
      <w:r>
        <w:rPr>
          <w:rFonts w:ascii="Times New Roman" w:hAnsi="Times New Roman" w:cs="Times New Roman"/>
          <w:color w:val="273350"/>
          <w:sz w:val="28"/>
          <w:szCs w:val="28"/>
        </w:rPr>
        <w:t xml:space="preserve"> проведен методический семинар "О средневзвешенной системе оценивания планируемых результатов обучающихся по основным общеобразовательным программам". </w:t>
      </w:r>
    </w:p>
    <w:p w:rsidR="00110EEC" w:rsidRDefault="00110EEC" w:rsidP="00110E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По данному вопросу выступил заместитель директора по учебно-воспитательной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Элитаева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Т.С.</w:t>
      </w:r>
    </w:p>
    <w:p w:rsidR="00110EEC" w:rsidRDefault="00110EEC" w:rsidP="00110E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 условиях обновления содержания общего образования и необходимости обеспечения единства образовательного пространства на всей территории Российской Федерации особую значимость приобретает вопрос оценивания планируемых результатов, освоения основных образовательных программ. Федеральные государственные образовательные стандарты устанавливают единые требования к системе оценки достижения планируемых результатов, предусматривающие использование уровневого, комплексного и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подходов. </w:t>
      </w:r>
    </w:p>
    <w:p w:rsidR="00110EEC" w:rsidRDefault="00110EEC" w:rsidP="00110EEC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Анализ практики свидетельствует о наличии существенных различий в планировании, проведении и учете результатов контрольных мероприятий при определении итоговой отметки. Наиболее распространенным является среднеарифметический подход к выставлению отметок, при котором равнозначное значение имеют результаты текущей работы на уроке и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lastRenderedPageBreak/>
        <w:t>результаты контрольных работ. Такой принцип зачастую приводит к искажению объективной картины освоения образовательной программы</w:t>
      </w:r>
    </w:p>
    <w:p w:rsidR="00110EEC" w:rsidRDefault="00110EEC" w:rsidP="00110E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 марте 2025 года Институт развития образования Чеченской Республики провел стратегическую сессию с участием заместителей руководителей общеобразовательных организаций, региональных методистов и специалистов методических служб. В ходе сессии были рассмотрены актуальные проблемы организации текущего оценивания, выявлены преимущества и ограничения среднеарифметического и средневзвешенного подходов, а также обозначены риски, связанные с отсутствием единых методических ориентиров в части промежуточной аттестации обучающихся и системы оценивания в целом. Особое внимание было уделено необходимости обеспечения единых критериев оценивания, прозрачности и сопоставимости результатов, а также разработке методических рекомендаций, которые позволят унифицировать систему оценивания на региональном уровне.</w:t>
      </w:r>
    </w:p>
    <w:p w:rsidR="00110EEC" w:rsidRDefault="00110EEC" w:rsidP="00110E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Итогом анализа выявленных проблем и обсуждения возможных решений стала разработка методических рекомендаций, направленных на обеспечение единообразия подходов в системе оценивания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планируемых результатов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обучающихся по основным общеобразовательным программам.</w:t>
      </w:r>
    </w:p>
    <w:p w:rsidR="00110EEC" w:rsidRDefault="00110EEC" w:rsidP="00110E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 1 сентября 2025-2026 учебного года общеобразовательным организациям Чеченской Республики в целях обеспечения единых подходов к организации системы оценивания, направленных на повышение объективности, сопоставимости и прозрачности результатов освоения обучающимися основных общеобразовательных программ, рекомендуется руководствоваться положениями настоящих рекомендаций.</w:t>
      </w:r>
    </w:p>
    <w:p w:rsidR="00110EEC" w:rsidRDefault="00110EEC" w:rsidP="00110EEC">
      <w:pPr>
        <w:pStyle w:val="a3"/>
        <w:rPr>
          <w:rFonts w:ascii="Montserrat" w:hAnsi="Montserrat"/>
          <w:color w:val="273350"/>
          <w:sz w:val="28"/>
          <w:szCs w:val="28"/>
        </w:rPr>
      </w:pPr>
      <w:r>
        <w:rPr>
          <w:rFonts w:ascii="Montserrat" w:hAnsi="Montserrat"/>
          <w:color w:val="273350"/>
          <w:sz w:val="28"/>
          <w:szCs w:val="28"/>
        </w:rPr>
        <w:t xml:space="preserve">В рамках исполнения поручений министра образования и науки ЧР (п. 5 Протокола заседания Коллегии </w:t>
      </w:r>
      <w:proofErr w:type="spellStart"/>
      <w:r>
        <w:rPr>
          <w:rFonts w:ascii="Montserrat" w:hAnsi="Montserrat"/>
          <w:color w:val="273350"/>
          <w:sz w:val="28"/>
          <w:szCs w:val="28"/>
        </w:rPr>
        <w:t>Минобрнауки</w:t>
      </w:r>
      <w:proofErr w:type="spellEnd"/>
      <w:r>
        <w:rPr>
          <w:rFonts w:ascii="Montserrat" w:hAnsi="Montserrat"/>
          <w:color w:val="273350"/>
          <w:sz w:val="28"/>
          <w:szCs w:val="28"/>
        </w:rPr>
        <w:t xml:space="preserve"> ЧР от 25 января 2025 г № 1) , в соответствии с письмом </w:t>
      </w:r>
      <w:proofErr w:type="spellStart"/>
      <w:r>
        <w:rPr>
          <w:rFonts w:ascii="Montserrat" w:hAnsi="Montserrat"/>
          <w:color w:val="273350"/>
          <w:sz w:val="28"/>
          <w:szCs w:val="28"/>
        </w:rPr>
        <w:t>Минобрануки</w:t>
      </w:r>
      <w:proofErr w:type="spellEnd"/>
      <w:r>
        <w:rPr>
          <w:rFonts w:ascii="Montserrat" w:hAnsi="Montserrat"/>
          <w:color w:val="273350"/>
          <w:sz w:val="28"/>
          <w:szCs w:val="28"/>
        </w:rPr>
        <w:t xml:space="preserve"> ЧР от 12 сентября 2025 г. № 1749/07-43 «О направлении 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в целях обеспечения единства подходов в системе оценивания планируемых результатов обучающихся по основным общеобразовательным программам в Чеченской Республике, разработаны локальные акты:</w:t>
      </w:r>
    </w:p>
    <w:p w:rsidR="00110EEC" w:rsidRDefault="00110EEC" w:rsidP="00110EEC">
      <w:pPr>
        <w:pStyle w:val="a3"/>
        <w:rPr>
          <w:rFonts w:ascii="Montserrat" w:hAnsi="Montserrat"/>
          <w:color w:val="273350"/>
          <w:sz w:val="28"/>
          <w:szCs w:val="28"/>
        </w:rPr>
      </w:pPr>
      <w:r>
        <w:rPr>
          <w:rFonts w:ascii="Montserrat" w:hAnsi="Montserrat"/>
          <w:color w:val="273350"/>
          <w:sz w:val="28"/>
          <w:szCs w:val="28"/>
        </w:rPr>
        <w:t xml:space="preserve">- Положение о средневзвешенной системе оценивания </w:t>
      </w:r>
      <w:proofErr w:type="gramStart"/>
      <w:r>
        <w:rPr>
          <w:rFonts w:ascii="Montserrat" w:hAnsi="Montserrat"/>
          <w:color w:val="273350"/>
          <w:sz w:val="28"/>
          <w:szCs w:val="28"/>
        </w:rPr>
        <w:t>планируемых результатов</w:t>
      </w:r>
      <w:proofErr w:type="gramEnd"/>
      <w:r>
        <w:rPr>
          <w:rFonts w:ascii="Montserrat" w:hAnsi="Montserrat"/>
          <w:color w:val="273350"/>
          <w:sz w:val="28"/>
          <w:szCs w:val="28"/>
        </w:rPr>
        <w:t xml:space="preserve"> обучающихся по основным общеобразовательным программам;</w:t>
      </w:r>
    </w:p>
    <w:p w:rsidR="00110EEC" w:rsidRDefault="00110EEC" w:rsidP="00110EEC">
      <w:pPr>
        <w:pStyle w:val="a3"/>
        <w:rPr>
          <w:rFonts w:ascii="Montserrat" w:hAnsi="Montserrat"/>
          <w:color w:val="273350"/>
          <w:sz w:val="28"/>
          <w:szCs w:val="28"/>
        </w:rPr>
      </w:pPr>
      <w:r>
        <w:rPr>
          <w:rFonts w:ascii="Montserrat" w:hAnsi="Montserrat"/>
          <w:color w:val="273350"/>
          <w:sz w:val="28"/>
          <w:szCs w:val="28"/>
        </w:rPr>
        <w:t>- Положение о формах, периодичности, порядке текущего контроля успеваемости и промежуточной аттестации обучающихся;</w:t>
      </w:r>
    </w:p>
    <w:p w:rsidR="00110EEC" w:rsidRDefault="00110EEC" w:rsidP="00110EEC">
      <w:pPr>
        <w:pStyle w:val="a3"/>
        <w:rPr>
          <w:rFonts w:ascii="Montserrat" w:hAnsi="Montserrat"/>
          <w:color w:val="273350"/>
          <w:sz w:val="28"/>
          <w:szCs w:val="28"/>
        </w:rPr>
      </w:pPr>
      <w:r>
        <w:rPr>
          <w:rFonts w:ascii="Montserrat" w:hAnsi="Montserrat"/>
          <w:color w:val="273350"/>
          <w:sz w:val="28"/>
          <w:szCs w:val="28"/>
        </w:rPr>
        <w:lastRenderedPageBreak/>
        <w:t>- Положение о графике контрольных мероприятий в системе оценки достижения планируемых результатов по основным общеобразовательным программам.</w:t>
      </w:r>
    </w:p>
    <w:p w:rsidR="00110EEC" w:rsidRDefault="00110EEC" w:rsidP="00110EEC">
      <w:pPr>
        <w:pStyle w:val="a3"/>
        <w:rPr>
          <w:color w:val="273350"/>
          <w:sz w:val="28"/>
          <w:szCs w:val="28"/>
        </w:rPr>
      </w:pPr>
    </w:p>
    <w:p w:rsidR="00110EEC" w:rsidRDefault="00110EEC" w:rsidP="0011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110EEC" w:rsidRDefault="00110EEC" w:rsidP="00110E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В целях обеспечения единых подходов к организации системы оценивания,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руководствоваться  методическими</w:t>
      </w:r>
      <w:proofErr w:type="gram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рекомендациями о </w:t>
      </w:r>
      <w:r>
        <w:rPr>
          <w:rFonts w:ascii="Times New Roman" w:hAnsi="Times New Roman" w:cs="Times New Roman"/>
          <w:color w:val="273350"/>
          <w:sz w:val="28"/>
          <w:szCs w:val="28"/>
        </w:rPr>
        <w:t>средневзвешенной системе оценивания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110EEC" w:rsidRDefault="00110EEC" w:rsidP="00110EEC">
      <w:pPr>
        <w:rPr>
          <w:rFonts w:ascii="Times New Roman" w:hAnsi="Times New Roman" w:cs="Times New Roman"/>
          <w:sz w:val="28"/>
          <w:szCs w:val="28"/>
        </w:rPr>
      </w:pPr>
    </w:p>
    <w:p w:rsidR="000319BC" w:rsidRPr="000319BC" w:rsidRDefault="000319BC">
      <w:pPr>
        <w:rPr>
          <w:rFonts w:ascii="Algerian" w:hAnsi="Algerian"/>
          <w:sz w:val="28"/>
          <w:szCs w:val="28"/>
        </w:rPr>
      </w:pPr>
    </w:p>
    <w:p w:rsidR="00157BA8" w:rsidRDefault="000319BC">
      <w:pPr>
        <w:rPr>
          <w:sz w:val="28"/>
          <w:szCs w:val="28"/>
        </w:rPr>
      </w:pPr>
      <w:proofErr w:type="gramStart"/>
      <w:r w:rsidRPr="000319BC">
        <w:rPr>
          <w:rFonts w:ascii="Cambria" w:hAnsi="Cambria" w:cs="Cambria"/>
          <w:sz w:val="28"/>
          <w:szCs w:val="28"/>
        </w:rPr>
        <w:t>Председатель</w:t>
      </w:r>
      <w:r w:rsidRPr="000319BC">
        <w:rPr>
          <w:rFonts w:ascii="Algerian" w:hAnsi="Algerian"/>
          <w:sz w:val="28"/>
          <w:szCs w:val="28"/>
        </w:rPr>
        <w:t xml:space="preserve">:   </w:t>
      </w:r>
      <w:proofErr w:type="gramEnd"/>
      <w:r w:rsidRPr="000319BC">
        <w:rPr>
          <w:rFonts w:ascii="Algerian" w:hAnsi="Algerian"/>
          <w:sz w:val="28"/>
          <w:szCs w:val="28"/>
        </w:rPr>
        <w:t xml:space="preserve">                                     </w:t>
      </w:r>
      <w:proofErr w:type="spellStart"/>
      <w:r w:rsidRPr="000319BC">
        <w:rPr>
          <w:rFonts w:ascii="Cambria" w:hAnsi="Cambria" w:cs="Cambria"/>
          <w:sz w:val="28"/>
          <w:szCs w:val="28"/>
        </w:rPr>
        <w:t>Албасова</w:t>
      </w:r>
      <w:proofErr w:type="spellEnd"/>
      <w:r w:rsidRPr="000319BC">
        <w:rPr>
          <w:rFonts w:ascii="Algerian" w:hAnsi="Algerian"/>
          <w:sz w:val="28"/>
          <w:szCs w:val="28"/>
        </w:rPr>
        <w:t xml:space="preserve"> </w:t>
      </w:r>
      <w:r w:rsidRPr="000319BC">
        <w:rPr>
          <w:rFonts w:ascii="Cambria" w:hAnsi="Cambria" w:cs="Cambria"/>
          <w:sz w:val="28"/>
          <w:szCs w:val="28"/>
        </w:rPr>
        <w:t>Н</w:t>
      </w:r>
      <w:r w:rsidRPr="000319BC">
        <w:rPr>
          <w:rFonts w:ascii="Algerian" w:hAnsi="Algerian"/>
          <w:sz w:val="28"/>
          <w:szCs w:val="28"/>
        </w:rPr>
        <w:t>.</w:t>
      </w:r>
      <w:r w:rsidRPr="000319BC">
        <w:rPr>
          <w:rFonts w:ascii="Cambria" w:hAnsi="Cambria" w:cs="Cambria"/>
          <w:sz w:val="28"/>
          <w:szCs w:val="28"/>
        </w:rPr>
        <w:t>Д</w:t>
      </w:r>
      <w:r w:rsidRPr="000319BC">
        <w:rPr>
          <w:rFonts w:ascii="Algerian" w:hAnsi="Algerian"/>
          <w:sz w:val="28"/>
          <w:szCs w:val="28"/>
        </w:rPr>
        <w:t>.</w:t>
      </w:r>
    </w:p>
    <w:p w:rsidR="000319BC" w:rsidRDefault="000319BC">
      <w:pPr>
        <w:rPr>
          <w:sz w:val="28"/>
          <w:szCs w:val="28"/>
        </w:rPr>
      </w:pPr>
    </w:p>
    <w:p w:rsidR="000319BC" w:rsidRPr="000319BC" w:rsidRDefault="000319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Секретарь:   </w:t>
      </w:r>
      <w:proofErr w:type="gramEnd"/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Боршигова</w:t>
      </w:r>
      <w:proofErr w:type="spellEnd"/>
      <w:r>
        <w:rPr>
          <w:sz w:val="28"/>
          <w:szCs w:val="28"/>
        </w:rPr>
        <w:t xml:space="preserve"> Х.С.</w:t>
      </w:r>
      <w:bookmarkStart w:id="0" w:name="_GoBack"/>
      <w:bookmarkEnd w:id="0"/>
    </w:p>
    <w:sectPr w:rsidR="000319BC" w:rsidRPr="0003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D9"/>
    <w:rsid w:val="000319BC"/>
    <w:rsid w:val="00110EEC"/>
    <w:rsid w:val="004F2D02"/>
    <w:rsid w:val="00A47AD9"/>
    <w:rsid w:val="00AB1BCA"/>
    <w:rsid w:val="00F2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5ED3-20DA-4E3D-AB20-85547E95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5</cp:revision>
  <cp:lastPrinted>2025-11-07T13:12:00Z</cp:lastPrinted>
  <dcterms:created xsi:type="dcterms:W3CDTF">2025-11-07T09:18:00Z</dcterms:created>
  <dcterms:modified xsi:type="dcterms:W3CDTF">2025-11-07T14:35:00Z</dcterms:modified>
</cp:coreProperties>
</file>